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B0CD" w14:textId="232DAB06" w:rsidR="00E4204A" w:rsidRPr="000139E8" w:rsidRDefault="0041630E" w:rsidP="0041630E">
      <w:pPr>
        <w:jc w:val="right"/>
      </w:pPr>
      <w:r w:rsidRPr="000139E8">
        <w:t xml:space="preserve">Załącznik nr 1 do </w:t>
      </w:r>
      <w:r w:rsidR="00576C79" w:rsidRPr="000139E8">
        <w:t>zapytania ofertowego</w:t>
      </w:r>
    </w:p>
    <w:p w14:paraId="34E20B9D" w14:textId="5BF23B77" w:rsidR="0041630E" w:rsidRPr="000139E8" w:rsidRDefault="0041630E" w:rsidP="0041630E">
      <w:r w:rsidRPr="000139E8">
        <w:t>Znak sprawy: 1/ZP/REWI/2021</w:t>
      </w:r>
    </w:p>
    <w:p w14:paraId="0EA2652A" w14:textId="070FBBA7" w:rsidR="0041630E" w:rsidRPr="000139E8" w:rsidRDefault="0041630E" w:rsidP="0041630E"/>
    <w:p w14:paraId="019E9C69" w14:textId="005F2A45" w:rsidR="0041630E" w:rsidRPr="000139E8" w:rsidRDefault="0041630E" w:rsidP="0041630E">
      <w:pPr>
        <w:jc w:val="center"/>
        <w:rPr>
          <w:b/>
          <w:bCs/>
          <w:sz w:val="32"/>
          <w:szCs w:val="32"/>
        </w:rPr>
      </w:pPr>
      <w:r w:rsidRPr="000139E8">
        <w:rPr>
          <w:b/>
          <w:bCs/>
          <w:sz w:val="32"/>
          <w:szCs w:val="32"/>
        </w:rPr>
        <w:t>OPIS PRZEDMIOTU ZAMÓWIENIA</w:t>
      </w:r>
    </w:p>
    <w:p w14:paraId="5DE544D3" w14:textId="77777777" w:rsidR="002F0CE5" w:rsidRPr="000139E8" w:rsidRDefault="002F0CE5" w:rsidP="0041630E">
      <w:pPr>
        <w:jc w:val="center"/>
        <w:rPr>
          <w:b/>
          <w:bCs/>
          <w:sz w:val="24"/>
          <w:szCs w:val="24"/>
        </w:rPr>
      </w:pPr>
    </w:p>
    <w:p w14:paraId="7D68433E" w14:textId="60FDB6EA" w:rsidR="002F0CE5" w:rsidRPr="000139E8" w:rsidRDefault="002F0CE5" w:rsidP="002F0CE5">
      <w:pPr>
        <w:jc w:val="center"/>
        <w:rPr>
          <w:b/>
          <w:bCs/>
          <w:sz w:val="24"/>
          <w:szCs w:val="24"/>
        </w:rPr>
      </w:pPr>
      <w:r w:rsidRPr="000139E8">
        <w:rPr>
          <w:b/>
          <w:bCs/>
          <w:sz w:val="24"/>
          <w:szCs w:val="24"/>
        </w:rPr>
        <w:t>Podstawowe informacje</w:t>
      </w:r>
    </w:p>
    <w:p w14:paraId="25D4CC8B" w14:textId="6FB7A492" w:rsidR="002F0CE5" w:rsidRPr="000139E8" w:rsidRDefault="002F0CE5" w:rsidP="002F0CE5">
      <w:pPr>
        <w:rPr>
          <w:b/>
          <w:bCs/>
        </w:rPr>
      </w:pPr>
    </w:p>
    <w:p w14:paraId="73315817" w14:textId="2DA69628" w:rsidR="002F0CE5" w:rsidRPr="000139E8" w:rsidRDefault="002F0CE5" w:rsidP="002F0CE5">
      <w:pPr>
        <w:pStyle w:val="Akapitzlist"/>
        <w:numPr>
          <w:ilvl w:val="0"/>
          <w:numId w:val="26"/>
        </w:numPr>
        <w:rPr>
          <w:b/>
          <w:bCs/>
        </w:rPr>
      </w:pPr>
      <w:r w:rsidRPr="000139E8">
        <w:t xml:space="preserve">Przedmiotem zamówienia jest wykonanie usługi </w:t>
      </w:r>
      <w:r w:rsidR="003F3257" w:rsidRPr="003F3257">
        <w:t>opracowania graficznego, korekty językowej, komputerowego składu, łamania, przygotowani</w:t>
      </w:r>
      <w:r w:rsidR="00B90074">
        <w:t>a</w:t>
      </w:r>
      <w:r w:rsidR="003F3257" w:rsidRPr="003F3257">
        <w:t xml:space="preserve"> do druku publikacji w postaci elektronicznej </w:t>
      </w:r>
      <w:r w:rsidR="00B90074">
        <w:br/>
      </w:r>
      <w:r w:rsidR="003F3257" w:rsidRPr="003F3257">
        <w:t>i drukowanej</w:t>
      </w:r>
      <w:r w:rsidR="00B90074">
        <w:t xml:space="preserve"> oraz</w:t>
      </w:r>
      <w:r w:rsidR="003F3257" w:rsidRPr="003F3257">
        <w:t xml:space="preserve"> druk</w:t>
      </w:r>
      <w:r w:rsidR="00B90074">
        <w:t>u</w:t>
      </w:r>
      <w:r w:rsidR="003F3257" w:rsidRPr="003F3257">
        <w:t xml:space="preserve"> wraz z dostawą albumu dobrych praktyk </w:t>
      </w:r>
      <w:r w:rsidRPr="000139E8">
        <w:t>w ramach projektu pn. „Rewitalizacja szansą na aktywną integrację” współfinansowanego ze środków Europejskiego Funduszu Społecznego oraz Budżetu Państwa.</w:t>
      </w:r>
    </w:p>
    <w:p w14:paraId="19C0FE0E" w14:textId="2021530E" w:rsidR="002F0CE5" w:rsidRPr="000139E8" w:rsidRDefault="002F0CE5" w:rsidP="002F0CE5">
      <w:pPr>
        <w:pStyle w:val="Akapitzlist"/>
        <w:numPr>
          <w:ilvl w:val="0"/>
          <w:numId w:val="26"/>
        </w:numPr>
        <w:rPr>
          <w:b/>
          <w:bCs/>
        </w:rPr>
      </w:pPr>
      <w:r w:rsidRPr="000139E8">
        <w:t xml:space="preserve">Adres dostawy: </w:t>
      </w:r>
    </w:p>
    <w:p w14:paraId="397C08D8" w14:textId="3B80C531" w:rsidR="002F0CE5" w:rsidRPr="000139E8" w:rsidRDefault="002F0CE5" w:rsidP="002F0CE5">
      <w:pPr>
        <w:rPr>
          <w:b/>
          <w:bCs/>
        </w:rPr>
      </w:pPr>
    </w:p>
    <w:p w14:paraId="5712AA95" w14:textId="446EABBD" w:rsidR="002F0CE5" w:rsidRPr="000139E8" w:rsidRDefault="002F0CE5" w:rsidP="002F0CE5">
      <w:pPr>
        <w:jc w:val="center"/>
      </w:pPr>
      <w:r w:rsidRPr="000139E8">
        <w:t>Koszalińska Agencja Rozwoju Regionalnego S.A.</w:t>
      </w:r>
    </w:p>
    <w:p w14:paraId="64BF3F22" w14:textId="79506582" w:rsidR="002F0CE5" w:rsidRPr="000139E8" w:rsidRDefault="002F0CE5" w:rsidP="002F0CE5">
      <w:pPr>
        <w:jc w:val="center"/>
      </w:pPr>
      <w:r w:rsidRPr="000139E8">
        <w:t>ul. Przemysłowa 8</w:t>
      </w:r>
    </w:p>
    <w:p w14:paraId="21DEB261" w14:textId="0234A114" w:rsidR="002F0CE5" w:rsidRPr="000139E8" w:rsidRDefault="002F0CE5" w:rsidP="002F0CE5">
      <w:pPr>
        <w:jc w:val="center"/>
      </w:pPr>
      <w:r w:rsidRPr="000139E8">
        <w:t>75-216 Koszalin</w:t>
      </w:r>
    </w:p>
    <w:p w14:paraId="3814330A" w14:textId="77777777" w:rsidR="007805C0" w:rsidRPr="000139E8" w:rsidRDefault="007805C0" w:rsidP="002F0CE5">
      <w:pPr>
        <w:jc w:val="center"/>
      </w:pPr>
    </w:p>
    <w:p w14:paraId="3DF348AC" w14:textId="63124A83" w:rsidR="002F0CE5" w:rsidRPr="000139E8" w:rsidRDefault="007805C0" w:rsidP="00D60C46">
      <w:pPr>
        <w:pStyle w:val="Akapitzlist"/>
        <w:numPr>
          <w:ilvl w:val="0"/>
          <w:numId w:val="26"/>
        </w:numPr>
      </w:pPr>
      <w:r w:rsidRPr="000139E8">
        <w:t xml:space="preserve">Wykonawca przed drukiem i oprawą albumu dobrych praktyk </w:t>
      </w:r>
      <w:r w:rsidR="006C2518">
        <w:t xml:space="preserve">oraz jego dostawą </w:t>
      </w:r>
      <w:r w:rsidRPr="000139E8">
        <w:t>prześle do Zamawiającego projekt graficzny. Zamawiaj</w:t>
      </w:r>
      <w:r w:rsidR="00966A0F">
        <w:t>ą</w:t>
      </w:r>
      <w:r w:rsidRPr="000139E8">
        <w:t xml:space="preserve">cy w terminie </w:t>
      </w:r>
      <w:r w:rsidR="006352B4">
        <w:t>5</w:t>
      </w:r>
      <w:r w:rsidRPr="000139E8">
        <w:t xml:space="preserve"> dni </w:t>
      </w:r>
      <w:r w:rsidR="006352B4">
        <w:t>kalendarzowych</w:t>
      </w:r>
      <w:r w:rsidRPr="000139E8">
        <w:t xml:space="preserve"> przesyła swoje uwagi do niego. Wykonawca w ciągu </w:t>
      </w:r>
      <w:r w:rsidR="006114B0">
        <w:t>5</w:t>
      </w:r>
      <w:r w:rsidRPr="000139E8">
        <w:t xml:space="preserve"> dni </w:t>
      </w:r>
      <w:r w:rsidR="006352B4">
        <w:t>kalendarzowych</w:t>
      </w:r>
      <w:r w:rsidRPr="000139E8">
        <w:t xml:space="preserve"> uwzględnia poprawki i przystępuje do kolejnych zadań w ramach świadczonej usługi. </w:t>
      </w:r>
    </w:p>
    <w:p w14:paraId="3F5E5AEE" w14:textId="77777777" w:rsidR="007805C0" w:rsidRPr="000139E8" w:rsidRDefault="007805C0" w:rsidP="00D60C46">
      <w:pPr>
        <w:pStyle w:val="Akapitzlist"/>
        <w:numPr>
          <w:ilvl w:val="0"/>
          <w:numId w:val="26"/>
        </w:numPr>
      </w:pPr>
      <w:r w:rsidRPr="000139E8">
        <w:t>Wykonawca jest zobowiązany do:</w:t>
      </w:r>
    </w:p>
    <w:p w14:paraId="4A2EFF5B" w14:textId="243CD76D" w:rsidR="007805C0" w:rsidRPr="000139E8" w:rsidRDefault="007805C0" w:rsidP="00D60C46">
      <w:pPr>
        <w:pStyle w:val="Akapitzlist"/>
        <w:numPr>
          <w:ilvl w:val="1"/>
          <w:numId w:val="26"/>
        </w:numPr>
      </w:pPr>
      <w:r w:rsidRPr="000139E8">
        <w:t xml:space="preserve">wykonania usługi z należytą starannością i zgodnie z wymaganiami zawartymi </w:t>
      </w:r>
      <w:r w:rsidRPr="000139E8">
        <w:br/>
        <w:t>w dokumentacji postępowania,</w:t>
      </w:r>
    </w:p>
    <w:p w14:paraId="4CC0B8A8" w14:textId="12D5E055" w:rsidR="002F0CE5" w:rsidRPr="000139E8" w:rsidRDefault="007805C0" w:rsidP="00D60C46">
      <w:pPr>
        <w:pStyle w:val="Akapitzlist"/>
        <w:numPr>
          <w:ilvl w:val="1"/>
          <w:numId w:val="26"/>
        </w:numPr>
      </w:pPr>
      <w:r w:rsidRPr="000139E8">
        <w:t>stosowania i przestrzegania obowiązują</w:t>
      </w:r>
      <w:r w:rsidR="000F68D9">
        <w:t>c</w:t>
      </w:r>
      <w:r w:rsidRPr="000139E8">
        <w:t>ych przepisów prawa oraz ponosi pełną odpowiedzialność w przypadku ich naruszenia,</w:t>
      </w:r>
    </w:p>
    <w:p w14:paraId="1C482E7F" w14:textId="0FED5F3C" w:rsidR="007805C0" w:rsidRPr="000139E8" w:rsidRDefault="007805C0" w:rsidP="00D60C46">
      <w:pPr>
        <w:pStyle w:val="Akapitzlist"/>
        <w:numPr>
          <w:ilvl w:val="1"/>
          <w:numId w:val="26"/>
        </w:numPr>
      </w:pPr>
      <w:r w:rsidRPr="000139E8">
        <w:t xml:space="preserve">współpracy z </w:t>
      </w:r>
      <w:r w:rsidR="00B454C7">
        <w:t>z</w:t>
      </w:r>
      <w:r w:rsidRPr="000139E8">
        <w:t>amawiającym na każdym etapie realizacji usługi.</w:t>
      </w:r>
    </w:p>
    <w:p w14:paraId="194195D5" w14:textId="497BE33E" w:rsidR="007805C0" w:rsidRPr="000139E8" w:rsidRDefault="00E0602D" w:rsidP="00D60C46">
      <w:pPr>
        <w:pStyle w:val="Akapitzlist"/>
        <w:numPr>
          <w:ilvl w:val="0"/>
          <w:numId w:val="26"/>
        </w:numPr>
      </w:pPr>
      <w:r w:rsidRPr="000139E8">
        <w:t xml:space="preserve">Zamówienie zostanie uznane za zrealizowane i zakończone po dostarczeniu przedmiotu zamówienia pod wskazany wyżej adres dostawy i akceptacji bez zastrzeżeń ze strony </w:t>
      </w:r>
      <w:r w:rsidR="00702C89">
        <w:t>z</w:t>
      </w:r>
      <w:r w:rsidRPr="000139E8">
        <w:t>amawiającego</w:t>
      </w:r>
      <w:r w:rsidR="006C2518">
        <w:t xml:space="preserve"> na podstawie protokołu odbioru.</w:t>
      </w:r>
    </w:p>
    <w:p w14:paraId="61C06A25" w14:textId="77777777" w:rsidR="00D60C46" w:rsidRPr="000139E8" w:rsidRDefault="0015456A" w:rsidP="00D60C46">
      <w:pPr>
        <w:numPr>
          <w:ilvl w:val="0"/>
          <w:numId w:val="26"/>
        </w:numPr>
        <w:suppressAutoHyphens/>
      </w:pPr>
      <w:r w:rsidRPr="000139E8">
        <w:t xml:space="preserve">Termin płatności wynosi 21 dni od daty wpływu faktury do Zamawiającego. </w:t>
      </w:r>
      <w:bookmarkStart w:id="0" w:name="_Hlk77760818"/>
      <w:r w:rsidRPr="000139E8">
        <w:t>Fakturę należy wystawić po dostawie albumu dobrych praktyk do siedziby Zamawiającego.</w:t>
      </w:r>
      <w:bookmarkEnd w:id="0"/>
    </w:p>
    <w:p w14:paraId="3D61442B" w14:textId="6E6A9FEC" w:rsidR="00D654A6" w:rsidRPr="000139E8" w:rsidRDefault="00D654A6" w:rsidP="00D60C46">
      <w:pPr>
        <w:numPr>
          <w:ilvl w:val="0"/>
          <w:numId w:val="26"/>
        </w:numPr>
        <w:suppressAutoHyphens/>
      </w:pPr>
      <w:r w:rsidRPr="000139E8">
        <w:t xml:space="preserve">Wykonawca przeniesie na </w:t>
      </w:r>
      <w:r w:rsidR="00635F7F">
        <w:t>z</w:t>
      </w:r>
      <w:r w:rsidRPr="000139E8">
        <w:t>amawiającego autorskie prawa majątkowe do wykorzystania bez ograniczeń czasowych i terytorialnych na wszystkich polach eksploatacji (</w:t>
      </w:r>
      <w:r w:rsidR="00FA74D0">
        <w:t>i</w:t>
      </w:r>
      <w:r w:rsidRPr="000139E8">
        <w:t>nternet, prasa, publikacje, działania informacyjno-promocyjne).</w:t>
      </w:r>
    </w:p>
    <w:p w14:paraId="71CF2091" w14:textId="77777777" w:rsidR="00B42348" w:rsidRPr="000139E8" w:rsidRDefault="00B42348" w:rsidP="00B42348">
      <w:pPr>
        <w:suppressAutoHyphens/>
      </w:pPr>
    </w:p>
    <w:p w14:paraId="570B33F1" w14:textId="7346EA52" w:rsidR="002F0CE5" w:rsidRPr="000139E8" w:rsidRDefault="002F0CE5" w:rsidP="002F0CE5">
      <w:pPr>
        <w:jc w:val="center"/>
        <w:rPr>
          <w:b/>
          <w:bCs/>
          <w:sz w:val="24"/>
          <w:szCs w:val="24"/>
        </w:rPr>
      </w:pPr>
      <w:r w:rsidRPr="000139E8">
        <w:rPr>
          <w:b/>
          <w:bCs/>
          <w:sz w:val="24"/>
          <w:szCs w:val="24"/>
        </w:rPr>
        <w:t>Parametry techniczne albumu dobrych praktyk</w:t>
      </w:r>
    </w:p>
    <w:p w14:paraId="0298506B" w14:textId="2851B977" w:rsidR="002F0CE5" w:rsidRPr="000139E8" w:rsidRDefault="002F0CE5" w:rsidP="002F0CE5">
      <w:pPr>
        <w:rPr>
          <w:b/>
          <w:bCs/>
          <w:sz w:val="24"/>
          <w:szCs w:val="24"/>
        </w:rPr>
      </w:pPr>
    </w:p>
    <w:tbl>
      <w:tblPr>
        <w:tblStyle w:val="Tabela-Siatka"/>
        <w:tblW w:w="0" w:type="auto"/>
        <w:tblLook w:val="04A0" w:firstRow="1" w:lastRow="0" w:firstColumn="1" w:lastColumn="0" w:noHBand="0" w:noVBand="1"/>
      </w:tblPr>
      <w:tblGrid>
        <w:gridCol w:w="4531"/>
        <w:gridCol w:w="4531"/>
      </w:tblGrid>
      <w:tr w:rsidR="00EE2CDB" w:rsidRPr="000139E8" w14:paraId="7504DD23" w14:textId="77777777" w:rsidTr="00EE2CDB">
        <w:tc>
          <w:tcPr>
            <w:tcW w:w="4531" w:type="dxa"/>
          </w:tcPr>
          <w:p w14:paraId="5F11314C" w14:textId="3D2BBDF3" w:rsidR="00EE2CDB" w:rsidRPr="000139E8" w:rsidRDefault="00EE2CDB" w:rsidP="004F1952">
            <w:pPr>
              <w:jc w:val="center"/>
              <w:rPr>
                <w:b/>
                <w:bCs/>
              </w:rPr>
            </w:pPr>
            <w:r w:rsidRPr="000139E8">
              <w:t>Cel</w:t>
            </w:r>
            <w:r w:rsidR="00604B0C" w:rsidRPr="000139E8">
              <w:t>e</w:t>
            </w:r>
            <w:r w:rsidRPr="000139E8">
              <w:t xml:space="preserve"> albumu</w:t>
            </w:r>
          </w:p>
        </w:tc>
        <w:tc>
          <w:tcPr>
            <w:tcW w:w="4531" w:type="dxa"/>
          </w:tcPr>
          <w:p w14:paraId="319D2799" w14:textId="3F6497FE" w:rsidR="00EE2CDB" w:rsidRPr="000139E8" w:rsidRDefault="00EE2CDB" w:rsidP="00EE2CDB">
            <w:pPr>
              <w:rPr>
                <w:b/>
                <w:bCs/>
              </w:rPr>
            </w:pPr>
            <w:r w:rsidRPr="000139E8">
              <w:t xml:space="preserve">Promocja gmin objętych wsparciem oraz przedsięwzięć inwestycyjnych zrealizowanych w ramach projektu „Rewitalizacja szansą na aktywną integrację” na terenie Gminy Karlino, Gminy Tychowo, Gminy Przybiernów, Gminy Gryfice, Gminy Golczewo, Gminy Świerzno, Gminy Wolin, Gminy Polanów, Gminy Świeszyno, Gminy Malechowo, Gminy Postomino, Gminy Miasto Darłowo, Gminy </w:t>
            </w:r>
            <w:r w:rsidRPr="000139E8">
              <w:lastRenderedPageBreak/>
              <w:t>Darłowo - gminy wiejska, Gminy Sławno - gminy wiejska, Gminy Chociwel, Gminy Ińsko, Gminy Suchań, Gminy Biały Bór, Gminy Borne Sulinowo, Gminy Miasto Szczecinek, Gminy Połczyn-Zdrój, Gminy Sławoborze, Gminy Łobez, Gminy Resko, Gminy Rymań. Promocja Koszalińskiej Agencji Rozwoju Regionalnego S.A.</w:t>
            </w:r>
          </w:p>
        </w:tc>
      </w:tr>
      <w:tr w:rsidR="00EE2CDB" w:rsidRPr="000139E8" w14:paraId="330B1DDE" w14:textId="77777777" w:rsidTr="00EE2CDB">
        <w:tc>
          <w:tcPr>
            <w:tcW w:w="4531" w:type="dxa"/>
          </w:tcPr>
          <w:p w14:paraId="56A48FA2" w14:textId="6D7B037D" w:rsidR="00EE2CDB" w:rsidRPr="000139E8" w:rsidRDefault="00EE2CDB" w:rsidP="004F1952">
            <w:pPr>
              <w:jc w:val="center"/>
              <w:rPr>
                <w:b/>
                <w:bCs/>
              </w:rPr>
            </w:pPr>
            <w:r w:rsidRPr="000139E8">
              <w:lastRenderedPageBreak/>
              <w:t>Schemat tematyczny publikacji</w:t>
            </w:r>
          </w:p>
        </w:tc>
        <w:tc>
          <w:tcPr>
            <w:tcW w:w="4531" w:type="dxa"/>
          </w:tcPr>
          <w:p w14:paraId="022726E0" w14:textId="7D32E1BF" w:rsidR="00EE2CDB" w:rsidRPr="000139E8" w:rsidRDefault="00EE2CDB" w:rsidP="00EE2CDB">
            <w:pPr>
              <w:rPr>
                <w:b/>
                <w:bCs/>
              </w:rPr>
            </w:pPr>
            <w:r w:rsidRPr="000139E8">
              <w:t>Każda egzemplarz będzie zawierać:</w:t>
            </w:r>
            <w:r w:rsidR="00AF3516">
              <w:t xml:space="preserve"> 1. </w:t>
            </w:r>
            <w:r w:rsidR="00AF3516" w:rsidRPr="000139E8">
              <w:t>Spis treści.</w:t>
            </w:r>
            <w:r w:rsidRPr="000139E8">
              <w:t xml:space="preserve"> </w:t>
            </w:r>
            <w:r w:rsidR="00AF3516">
              <w:t>2</w:t>
            </w:r>
            <w:r w:rsidRPr="000139E8">
              <w:t xml:space="preserve">. Wstęp – tekst długi </w:t>
            </w:r>
            <w:r w:rsidR="00F950FC">
              <w:t>z</w:t>
            </w:r>
            <w:r w:rsidRPr="000139E8">
              <w:t>amawiającego stanowiący syntetyczne podsumowanie projektu pn. „Rewitalizacja szansą na aktywną integrację”,</w:t>
            </w:r>
            <w:r w:rsidR="00AF3516">
              <w:t xml:space="preserve"> 3. </w:t>
            </w:r>
            <w:r w:rsidRPr="000139E8">
              <w:t>Moduł dobrych praktyk przedsięwzięć inwestycyjnych</w:t>
            </w:r>
            <w:r w:rsidR="00D0784E">
              <w:t>.</w:t>
            </w:r>
            <w:r w:rsidRPr="000139E8">
              <w:t xml:space="preserve"> Na moduł dobry</w:t>
            </w:r>
            <w:r w:rsidR="00C109BE">
              <w:t>ch</w:t>
            </w:r>
            <w:r w:rsidRPr="000139E8">
              <w:t xml:space="preserve"> praktyk składa się 25 sekcji, po jednej na każdą gminę wymienioną w pkt. „Cel albumu”. Każda sekcja będzie składać się ze strony herbu gminy i/lub jej hasła marketingowego (</w:t>
            </w:r>
            <w:r w:rsidR="00240E52" w:rsidRPr="000139E8">
              <w:t>w miarę możliwości</w:t>
            </w:r>
            <w:r w:rsidRPr="000139E8">
              <w:t>), wypowiedzi przedstawiciela gminy (jedna strona)</w:t>
            </w:r>
            <w:r w:rsidR="00494787">
              <w:t xml:space="preserve"> oraz </w:t>
            </w:r>
            <w:r w:rsidR="00C13C30">
              <w:t xml:space="preserve">opatrzonych zdjęciami </w:t>
            </w:r>
            <w:r w:rsidRPr="000139E8">
              <w:t xml:space="preserve">opisów śr. 6 przedsięwzięć inwestycyjnych zrealizowanych na obszarach rewitalizacji </w:t>
            </w:r>
            <w:r w:rsidR="0031545B">
              <w:br/>
            </w:r>
            <w:r w:rsidRPr="000139E8">
              <w:t xml:space="preserve">w danej gminie (po </w:t>
            </w:r>
            <w:r w:rsidR="004F6379">
              <w:t xml:space="preserve">ok. </w:t>
            </w:r>
            <w:r w:rsidRPr="000139E8">
              <w:t xml:space="preserve">jednej stronie na każde przedsięwzięcie). </w:t>
            </w:r>
          </w:p>
        </w:tc>
      </w:tr>
      <w:tr w:rsidR="00EE2CDB" w:rsidRPr="000139E8" w14:paraId="26116FF7" w14:textId="77777777" w:rsidTr="00EE2CDB">
        <w:tc>
          <w:tcPr>
            <w:tcW w:w="4531" w:type="dxa"/>
          </w:tcPr>
          <w:p w14:paraId="4C8593DC" w14:textId="191765BE" w:rsidR="00EE2CDB" w:rsidRPr="000139E8" w:rsidRDefault="00EE2CDB" w:rsidP="004F1952">
            <w:pPr>
              <w:jc w:val="center"/>
              <w:rPr>
                <w:b/>
                <w:bCs/>
              </w:rPr>
            </w:pPr>
            <w:r w:rsidRPr="000139E8">
              <w:t>Teksty</w:t>
            </w:r>
            <w:r w:rsidR="006006D6">
              <w:t xml:space="preserve"> i </w:t>
            </w:r>
            <w:r w:rsidR="00A42D8E">
              <w:t xml:space="preserve">jego </w:t>
            </w:r>
            <w:r w:rsidR="006006D6">
              <w:t xml:space="preserve">korekta </w:t>
            </w:r>
          </w:p>
        </w:tc>
        <w:tc>
          <w:tcPr>
            <w:tcW w:w="4531" w:type="dxa"/>
          </w:tcPr>
          <w:p w14:paraId="3B8630F8" w14:textId="114F966C" w:rsidR="00EE2CDB" w:rsidRPr="000139E8" w:rsidRDefault="00EE2CDB" w:rsidP="00EE2CDB">
            <w:pPr>
              <w:rPr>
                <w:b/>
                <w:bCs/>
              </w:rPr>
            </w:pPr>
            <w:r w:rsidRPr="000139E8">
              <w:t>Zamawiający zapewnia tekst</w:t>
            </w:r>
            <w:r w:rsidR="00A319EE">
              <w:t>y</w:t>
            </w:r>
            <w:r w:rsidRPr="000139E8">
              <w:t xml:space="preserve"> do publikacji (dot. wstępu, wypowiedzi przedstawicieli gminy, haseł gmin, opisów przedsięwzięć inwestycyjnych). Wykonawca przygotuje spis treści oraz dokona korekty tekstu.</w:t>
            </w:r>
          </w:p>
        </w:tc>
      </w:tr>
      <w:tr w:rsidR="00EE2CDB" w:rsidRPr="000139E8" w14:paraId="4A479C85" w14:textId="77777777" w:rsidTr="00EE2CDB">
        <w:tc>
          <w:tcPr>
            <w:tcW w:w="4531" w:type="dxa"/>
          </w:tcPr>
          <w:p w14:paraId="0601105B" w14:textId="7E176E2F" w:rsidR="00EE2CDB" w:rsidRPr="000139E8" w:rsidRDefault="00EE2CDB" w:rsidP="004F1952">
            <w:pPr>
              <w:jc w:val="center"/>
              <w:rPr>
                <w:b/>
                <w:bCs/>
              </w:rPr>
            </w:pPr>
            <w:r w:rsidRPr="000139E8">
              <w:t>Kolorystyka</w:t>
            </w:r>
          </w:p>
        </w:tc>
        <w:tc>
          <w:tcPr>
            <w:tcW w:w="4531" w:type="dxa"/>
          </w:tcPr>
          <w:p w14:paraId="71DD1A51" w14:textId="1B81EEA4" w:rsidR="00EE2CDB" w:rsidRPr="000139E8" w:rsidRDefault="00EE2CDB" w:rsidP="00EE2CDB">
            <w:pPr>
              <w:rPr>
                <w:b/>
                <w:bCs/>
              </w:rPr>
            </w:pPr>
            <w:r w:rsidRPr="000139E8">
              <w:t xml:space="preserve">Do określenia kolorystyki zostanie wykorzystana </w:t>
            </w:r>
            <w:r w:rsidR="00E1452E" w:rsidRPr="000139E8">
              <w:t xml:space="preserve">pełna </w:t>
            </w:r>
            <w:r w:rsidRPr="000139E8">
              <w:t xml:space="preserve">paleta </w:t>
            </w:r>
            <w:r w:rsidR="004F1952" w:rsidRPr="000139E8">
              <w:t xml:space="preserve">4/4 </w:t>
            </w:r>
            <w:r w:rsidRPr="000139E8">
              <w:t xml:space="preserve">CMYK. Oprawa, wstęp </w:t>
            </w:r>
            <w:r w:rsidR="00E1452E" w:rsidRPr="000139E8">
              <w:br/>
            </w:r>
            <w:r w:rsidRPr="000139E8">
              <w:t>i zakończenie zostaną utrzymane w kolorystyce firmowej KARR S.A., poszczególne sekcje modułu dobrych praktyk – w kolorystyce danej gminy (w miarę możliwości).</w:t>
            </w:r>
            <w:r w:rsidR="00580CF6" w:rsidRPr="000139E8">
              <w:t xml:space="preserve"> Zamawiający prześle </w:t>
            </w:r>
            <w:r w:rsidR="00AA54A9">
              <w:t>w</w:t>
            </w:r>
            <w:r w:rsidR="00580CF6" w:rsidRPr="000139E8">
              <w:t xml:space="preserve">ykonawcy logo i inne grafiki </w:t>
            </w:r>
            <w:r w:rsidR="00141EAC">
              <w:t>oraz</w:t>
            </w:r>
            <w:r w:rsidR="00580CF6" w:rsidRPr="000139E8">
              <w:t xml:space="preserve"> systemy identyfikacji wizualnej (w miarę dostępności). </w:t>
            </w:r>
            <w:r w:rsidR="00587B2B">
              <w:t xml:space="preserve">Publikacja musi zawierać oznakowanie właściwe dla projektów realizowanych ze środków Unii Europejskiej (znak programu polityki spójności oraz Funduszów Europejskich) oraz być zgodna w tym zakresie z zasadami oznakowania RPO WZP na lata 2014-2020. </w:t>
            </w:r>
          </w:p>
        </w:tc>
      </w:tr>
      <w:tr w:rsidR="00EB1B10" w:rsidRPr="000139E8" w14:paraId="1E6957EA" w14:textId="77777777" w:rsidTr="00EE2CDB">
        <w:tc>
          <w:tcPr>
            <w:tcW w:w="4531" w:type="dxa"/>
          </w:tcPr>
          <w:p w14:paraId="3DE98A7C" w14:textId="572D28F2" w:rsidR="00EB1B10" w:rsidRPr="000139E8" w:rsidRDefault="00EB1B10" w:rsidP="004F1952">
            <w:pPr>
              <w:jc w:val="center"/>
            </w:pPr>
            <w:r w:rsidRPr="000139E8">
              <w:t>Zdjęcia</w:t>
            </w:r>
          </w:p>
        </w:tc>
        <w:tc>
          <w:tcPr>
            <w:tcW w:w="4531" w:type="dxa"/>
          </w:tcPr>
          <w:p w14:paraId="43729921" w14:textId="1875ECE8" w:rsidR="00EB1B10" w:rsidRPr="000139E8" w:rsidRDefault="00E1452E" w:rsidP="00EE2CDB">
            <w:r w:rsidRPr="000139E8">
              <w:t xml:space="preserve">Zamawiający zapewni dostęp </w:t>
            </w:r>
            <w:r w:rsidR="00AA54A9">
              <w:t>w</w:t>
            </w:r>
            <w:r w:rsidRPr="000139E8">
              <w:t xml:space="preserve">ykonawcy do bazy zdjęć przedsięwzięć inwestycyjnych. </w:t>
            </w:r>
          </w:p>
        </w:tc>
      </w:tr>
      <w:tr w:rsidR="00EE2CDB" w:rsidRPr="000139E8" w14:paraId="33DF2C4A" w14:textId="77777777" w:rsidTr="00EE2CDB">
        <w:tc>
          <w:tcPr>
            <w:tcW w:w="4531" w:type="dxa"/>
          </w:tcPr>
          <w:p w14:paraId="384C8756" w14:textId="37DCCA5B" w:rsidR="00EE2CDB" w:rsidRPr="000139E8" w:rsidRDefault="00EE2CDB" w:rsidP="004F1952">
            <w:pPr>
              <w:jc w:val="center"/>
              <w:rPr>
                <w:b/>
                <w:bCs/>
              </w:rPr>
            </w:pPr>
            <w:r w:rsidRPr="000139E8">
              <w:t>Wersja elektroniczna albumu</w:t>
            </w:r>
          </w:p>
        </w:tc>
        <w:tc>
          <w:tcPr>
            <w:tcW w:w="4531" w:type="dxa"/>
          </w:tcPr>
          <w:p w14:paraId="6AF0D318" w14:textId="35CB76CD" w:rsidR="00EE2CDB" w:rsidRPr="000139E8" w:rsidRDefault="00EE2CDB" w:rsidP="00EE2CDB">
            <w:pPr>
              <w:rPr>
                <w:b/>
                <w:bCs/>
              </w:rPr>
            </w:pPr>
            <w:r w:rsidRPr="000139E8">
              <w:t xml:space="preserve">Wykonawca przygotuje wersję elektroniczną </w:t>
            </w:r>
            <w:r w:rsidR="0065749C" w:rsidRPr="000139E8">
              <w:t>albumu dobrych praktyk</w:t>
            </w:r>
            <w:r w:rsidRPr="000139E8">
              <w:t xml:space="preserve"> w formacie </w:t>
            </w:r>
            <w:r w:rsidR="00EC616F">
              <w:t>„</w:t>
            </w:r>
            <w:r w:rsidRPr="000139E8">
              <w:t>pdf</w:t>
            </w:r>
            <w:r w:rsidR="00EC616F">
              <w:t>”</w:t>
            </w:r>
            <w:r w:rsidR="002343A0">
              <w:t xml:space="preserve"> </w:t>
            </w:r>
            <w:r w:rsidR="00E02ADD">
              <w:br/>
            </w:r>
            <w:r w:rsidR="002343A0">
              <w:t xml:space="preserve">z możliwością przechodzenia do części albumu </w:t>
            </w:r>
            <w:r w:rsidR="00E02ADD">
              <w:br/>
            </w:r>
            <w:r w:rsidR="002343A0">
              <w:t>z poziomu spisu treści</w:t>
            </w:r>
            <w:r w:rsidRPr="000139E8">
              <w:t>.</w:t>
            </w:r>
            <w:r w:rsidR="002D7E8D">
              <w:t xml:space="preserve"> </w:t>
            </w:r>
            <w:r w:rsidR="00EC616F">
              <w:t xml:space="preserve"> </w:t>
            </w:r>
          </w:p>
        </w:tc>
      </w:tr>
      <w:tr w:rsidR="00AB60C0" w:rsidRPr="000139E8" w14:paraId="56DB44E9" w14:textId="77777777" w:rsidTr="00EE2CDB">
        <w:tc>
          <w:tcPr>
            <w:tcW w:w="4531" w:type="dxa"/>
          </w:tcPr>
          <w:p w14:paraId="34060A37" w14:textId="44D4AE00" w:rsidR="00AB60C0" w:rsidRPr="000139E8" w:rsidRDefault="00AB60C0" w:rsidP="004F1952">
            <w:pPr>
              <w:jc w:val="center"/>
            </w:pPr>
            <w:r>
              <w:lastRenderedPageBreak/>
              <w:t>Skład, łamanie i korekta</w:t>
            </w:r>
          </w:p>
        </w:tc>
        <w:tc>
          <w:tcPr>
            <w:tcW w:w="4531" w:type="dxa"/>
          </w:tcPr>
          <w:p w14:paraId="4352A14F" w14:textId="53374CFD" w:rsidR="00AB60C0" w:rsidRDefault="000E035A" w:rsidP="00EE2CDB">
            <w:r>
              <w:t xml:space="preserve">Wykonawca dokona składu, łamania </w:t>
            </w:r>
            <w:r w:rsidR="00A24AB2">
              <w:br/>
            </w:r>
            <w:r>
              <w:t>i komputerowego opracowania materiału tekstowego i zdjęciowego</w:t>
            </w:r>
            <w:r w:rsidR="009F4D70">
              <w:t xml:space="preserve">. </w:t>
            </w:r>
            <w:r w:rsidR="003A285F">
              <w:t xml:space="preserve">Publikacja musi być zgodna ze Standardami dostępności dla polityki spójności 2014-2020 (WCAG), </w:t>
            </w:r>
            <w:r w:rsidR="00F2528C">
              <w:t>m.in.</w:t>
            </w:r>
            <w:r w:rsidR="0067018C">
              <w:t>:</w:t>
            </w:r>
          </w:p>
          <w:p w14:paraId="43D6A4AB" w14:textId="77777777" w:rsidR="0067018C" w:rsidRDefault="003A285F" w:rsidP="0067018C">
            <w:pPr>
              <w:pStyle w:val="Akapitzlist"/>
              <w:numPr>
                <w:ilvl w:val="0"/>
                <w:numId w:val="28"/>
              </w:numPr>
            </w:pPr>
            <w:r>
              <w:t>czcionka bezszeryfowa,</w:t>
            </w:r>
          </w:p>
          <w:p w14:paraId="64DC5891" w14:textId="77777777" w:rsidR="003A285F" w:rsidRDefault="003A285F" w:rsidP="0067018C">
            <w:pPr>
              <w:pStyle w:val="Akapitzlist"/>
              <w:numPr>
                <w:ilvl w:val="0"/>
                <w:numId w:val="28"/>
              </w:numPr>
            </w:pPr>
            <w:r>
              <w:t>rozmiar: 12,</w:t>
            </w:r>
          </w:p>
          <w:p w14:paraId="311F1CDB" w14:textId="6722FD9C" w:rsidR="003A285F" w:rsidRDefault="003A285F" w:rsidP="0067018C">
            <w:pPr>
              <w:pStyle w:val="Akapitzlist"/>
              <w:numPr>
                <w:ilvl w:val="0"/>
                <w:numId w:val="28"/>
              </w:numPr>
            </w:pPr>
            <w:r>
              <w:t>interlinia: co najmniej 1,15</w:t>
            </w:r>
            <w:r w:rsidR="0041563F">
              <w:t>,</w:t>
            </w:r>
          </w:p>
          <w:p w14:paraId="1B798F10" w14:textId="77777777" w:rsidR="003A285F" w:rsidRDefault="003A285F" w:rsidP="0067018C">
            <w:pPr>
              <w:pStyle w:val="Akapitzlist"/>
              <w:numPr>
                <w:ilvl w:val="0"/>
                <w:numId w:val="28"/>
              </w:numPr>
            </w:pPr>
            <w:r>
              <w:t>wyrównanie tekstu do lewej strony,</w:t>
            </w:r>
          </w:p>
          <w:p w14:paraId="4B4CC27C" w14:textId="77777777" w:rsidR="003A285F" w:rsidRDefault="003A285F" w:rsidP="0067018C">
            <w:pPr>
              <w:pStyle w:val="Akapitzlist"/>
              <w:numPr>
                <w:ilvl w:val="0"/>
                <w:numId w:val="28"/>
              </w:numPr>
            </w:pPr>
            <w:r>
              <w:t xml:space="preserve">zdjęcia i grafiki muszą być opisane, a w wersji elektronicznej – zawierać tekst alternatywny, </w:t>
            </w:r>
          </w:p>
          <w:p w14:paraId="41E2C63B" w14:textId="6A94A0A0" w:rsidR="003A285F" w:rsidRDefault="003A285F" w:rsidP="0067018C">
            <w:pPr>
              <w:pStyle w:val="Akapitzlist"/>
              <w:numPr>
                <w:ilvl w:val="0"/>
                <w:numId w:val="28"/>
              </w:numPr>
            </w:pPr>
            <w:r>
              <w:t>publikacja w formie elektronicznej zostanie złożona w sposób zapewniający dostęp do warstwy tekstowej dokumentu oraz informacji o strukturze dokumentu w celu zastosowania technologii asystujących</w:t>
            </w:r>
            <w:r w:rsidR="00FB4FD5">
              <w:t>,</w:t>
            </w:r>
          </w:p>
          <w:p w14:paraId="2D2D0E23" w14:textId="77777777" w:rsidR="003A285F" w:rsidRDefault="00FB4FD5" w:rsidP="0067018C">
            <w:pPr>
              <w:pStyle w:val="Akapitzlist"/>
              <w:numPr>
                <w:ilvl w:val="0"/>
                <w:numId w:val="28"/>
              </w:numPr>
            </w:pPr>
            <w:r>
              <w:t>odległość między akapitami jest przynajmniej 1,5 razy większa niż ta pomiędzy wierszami,</w:t>
            </w:r>
          </w:p>
          <w:p w14:paraId="64F914E6" w14:textId="339C763A" w:rsidR="00FB4FD5" w:rsidRDefault="00FB4FD5" w:rsidP="0067018C">
            <w:pPr>
              <w:pStyle w:val="Akapitzlist"/>
              <w:numPr>
                <w:ilvl w:val="0"/>
                <w:numId w:val="28"/>
              </w:numPr>
            </w:pPr>
            <w:r>
              <w:t xml:space="preserve">w wersji elektronicznej rozmiar tekstu może zostać powiększony do 200% bez użycia technologii wspomagających, nie wymagając od użytkownika, chcącego odczytać cały wiersz, przesuwania tekstu </w:t>
            </w:r>
            <w:r w:rsidR="0041563F">
              <w:br/>
            </w:r>
            <w:r>
              <w:t>w poziomie przy zmaksymalizowanym oknie ekranu</w:t>
            </w:r>
            <w:r w:rsidR="002F2D50">
              <w:t>,</w:t>
            </w:r>
          </w:p>
          <w:p w14:paraId="7A4A585C" w14:textId="091AFB4D" w:rsidR="00FB4FD5" w:rsidRDefault="00FB4FD5" w:rsidP="0067018C">
            <w:pPr>
              <w:pStyle w:val="Akapitzlist"/>
              <w:numPr>
                <w:ilvl w:val="0"/>
                <w:numId w:val="28"/>
              </w:numPr>
            </w:pPr>
            <w:r>
              <w:t>wizualne przedstawienie tekstu lub obrazu tekstu w wersji elektronicznej musi posiadać kontrast wynoszący przynajmniej 4,5:1, a dla dużego tekstu (czcionka co najmniej 18 punktów)</w:t>
            </w:r>
            <w:r w:rsidR="00322D2C">
              <w:t xml:space="preserve"> – </w:t>
            </w:r>
            <w:r>
              <w:t>przynajmniej 3:1</w:t>
            </w:r>
            <w:r w:rsidR="002F2D50">
              <w:t>,</w:t>
            </w:r>
          </w:p>
          <w:p w14:paraId="66C2B65F" w14:textId="2B696CCF" w:rsidR="00FB4FD5" w:rsidRPr="000139E8" w:rsidRDefault="00FB4FD5" w:rsidP="0067018C">
            <w:pPr>
              <w:pStyle w:val="Akapitzlist"/>
              <w:numPr>
                <w:ilvl w:val="0"/>
                <w:numId w:val="28"/>
              </w:numPr>
            </w:pPr>
            <w:r>
              <w:t xml:space="preserve">elementy </w:t>
            </w:r>
            <w:r w:rsidR="00D62938">
              <w:t xml:space="preserve">takie </w:t>
            </w:r>
            <w:r>
              <w:t>strukturalne, jak akapity, nagłówki, listy, tabele, łącza, grupy kontrolek</w:t>
            </w:r>
            <w:r w:rsidR="007843A4">
              <w:t xml:space="preserve"> </w:t>
            </w:r>
            <w:r>
              <w:t xml:space="preserve">oraz </w:t>
            </w:r>
            <w:r w:rsidR="007843A4">
              <w:t xml:space="preserve">takie </w:t>
            </w:r>
            <w:r>
              <w:t xml:space="preserve">elementy semantyczne, jak wyróżnienia, cytaty, indeksy górne lub dolne należy oznaczać odpowiednimi stylami, znacznikami lub umieszczać je </w:t>
            </w:r>
            <w:r w:rsidR="005938D9">
              <w:br/>
            </w:r>
            <w:r>
              <w:t>w odpowiednich elementach strukturalnych tak, by technologie wspomagające mogły je rozpoznać</w:t>
            </w:r>
            <w:r w:rsidR="00CE66F3">
              <w:t>.</w:t>
            </w:r>
          </w:p>
        </w:tc>
      </w:tr>
      <w:tr w:rsidR="00D4357F" w:rsidRPr="000139E8" w14:paraId="112A2FFB" w14:textId="77777777" w:rsidTr="00EE2CDB">
        <w:tc>
          <w:tcPr>
            <w:tcW w:w="4531" w:type="dxa"/>
          </w:tcPr>
          <w:p w14:paraId="13B2F45E" w14:textId="0B11D91E" w:rsidR="00D4357F" w:rsidRPr="000139E8" w:rsidRDefault="004F1952" w:rsidP="004F1952">
            <w:pPr>
              <w:jc w:val="center"/>
              <w:rPr>
                <w:b/>
                <w:bCs/>
              </w:rPr>
            </w:pPr>
            <w:r w:rsidRPr="000139E8">
              <w:t>Liczba</w:t>
            </w:r>
            <w:r w:rsidR="00D4357F" w:rsidRPr="000139E8">
              <w:t xml:space="preserve"> egzemplarzy</w:t>
            </w:r>
          </w:p>
        </w:tc>
        <w:tc>
          <w:tcPr>
            <w:tcW w:w="4531" w:type="dxa"/>
          </w:tcPr>
          <w:p w14:paraId="535579B0" w14:textId="15412182" w:rsidR="00D4357F" w:rsidRPr="000139E8" w:rsidRDefault="00D4357F" w:rsidP="00D4357F">
            <w:pPr>
              <w:rPr>
                <w:b/>
                <w:bCs/>
              </w:rPr>
            </w:pPr>
            <w:r w:rsidRPr="000139E8">
              <w:t>3 000</w:t>
            </w:r>
          </w:p>
        </w:tc>
      </w:tr>
      <w:tr w:rsidR="00AB60C0" w:rsidRPr="000139E8" w14:paraId="453FD1ED" w14:textId="77777777" w:rsidTr="00EE2CDB">
        <w:tc>
          <w:tcPr>
            <w:tcW w:w="4531" w:type="dxa"/>
          </w:tcPr>
          <w:p w14:paraId="24CA5CF6" w14:textId="5E503654" w:rsidR="00AB60C0" w:rsidRPr="000139E8" w:rsidRDefault="00AB60C0" w:rsidP="004F1952">
            <w:pPr>
              <w:jc w:val="center"/>
            </w:pPr>
            <w:r>
              <w:t>Format</w:t>
            </w:r>
          </w:p>
        </w:tc>
        <w:tc>
          <w:tcPr>
            <w:tcW w:w="4531" w:type="dxa"/>
          </w:tcPr>
          <w:p w14:paraId="025D02C4" w14:textId="2BD95292" w:rsidR="00AB60C0" w:rsidRPr="000139E8" w:rsidRDefault="00AB60C0" w:rsidP="00D4357F">
            <w:r>
              <w:t>A4</w:t>
            </w:r>
          </w:p>
        </w:tc>
      </w:tr>
      <w:tr w:rsidR="00D4357F" w:rsidRPr="000139E8" w14:paraId="3755A0BB" w14:textId="77777777" w:rsidTr="00EE2CDB">
        <w:tc>
          <w:tcPr>
            <w:tcW w:w="4531" w:type="dxa"/>
          </w:tcPr>
          <w:p w14:paraId="1A7F57E6" w14:textId="61FBC4AA" w:rsidR="00D4357F" w:rsidRPr="000139E8" w:rsidRDefault="004F1952" w:rsidP="004F1952">
            <w:pPr>
              <w:jc w:val="center"/>
            </w:pPr>
            <w:r w:rsidRPr="000139E8">
              <w:t>Liczba stron</w:t>
            </w:r>
          </w:p>
        </w:tc>
        <w:tc>
          <w:tcPr>
            <w:tcW w:w="4531" w:type="dxa"/>
          </w:tcPr>
          <w:p w14:paraId="225BD05F" w14:textId="2BFD5160" w:rsidR="00D4357F" w:rsidRPr="000139E8" w:rsidRDefault="00240E52" w:rsidP="00D4357F">
            <w:r w:rsidRPr="000139E8">
              <w:t xml:space="preserve">ok. </w:t>
            </w:r>
            <w:r w:rsidR="004F1952" w:rsidRPr="000139E8">
              <w:t>4 + 228</w:t>
            </w:r>
            <w:r w:rsidRPr="000139E8">
              <w:t xml:space="preserve">. </w:t>
            </w:r>
            <w:r w:rsidR="00DB4B7A" w:rsidRPr="000139E8">
              <w:t>Zadruk dwustronny</w:t>
            </w:r>
            <w:r w:rsidR="00FD7587" w:rsidRPr="000139E8">
              <w:t>, 4/4 okładka i 4/4 wnętrze</w:t>
            </w:r>
            <w:r w:rsidR="00DB4B7A" w:rsidRPr="000139E8">
              <w:t xml:space="preserve">. </w:t>
            </w:r>
            <w:r w:rsidRPr="000139E8">
              <w:t>Ostateczna liczba stron będzie zależeć od projektu graficznego</w:t>
            </w:r>
            <w:r w:rsidR="00615F9A" w:rsidRPr="000139E8">
              <w:t xml:space="preserve"> i może nieznacznie się różnić od wartości wyjściowej. </w:t>
            </w:r>
          </w:p>
        </w:tc>
      </w:tr>
      <w:tr w:rsidR="00D4357F" w:rsidRPr="000139E8" w14:paraId="31A24C4D" w14:textId="77777777" w:rsidTr="00EE2CDB">
        <w:tc>
          <w:tcPr>
            <w:tcW w:w="4531" w:type="dxa"/>
          </w:tcPr>
          <w:p w14:paraId="6B040610" w14:textId="409D466D" w:rsidR="00D4357F" w:rsidRPr="000139E8" w:rsidRDefault="00DE7578" w:rsidP="004F1952">
            <w:pPr>
              <w:jc w:val="center"/>
            </w:pPr>
            <w:r>
              <w:lastRenderedPageBreak/>
              <w:t>Okładka</w:t>
            </w:r>
          </w:p>
        </w:tc>
        <w:tc>
          <w:tcPr>
            <w:tcW w:w="4531" w:type="dxa"/>
          </w:tcPr>
          <w:p w14:paraId="146995BE" w14:textId="6F5DAE97" w:rsidR="00D4357F" w:rsidRPr="000139E8" w:rsidRDefault="004F1952" w:rsidP="00D4357F">
            <w:r w:rsidRPr="000139E8">
              <w:t>Nautilus Classic 300 g lub równoważna</w:t>
            </w:r>
            <w:r w:rsidR="008B55D7">
              <w:t xml:space="preserve"> (parametry równoważności: papier makulat</w:t>
            </w:r>
            <w:r w:rsidR="0083325E">
              <w:t>u</w:t>
            </w:r>
            <w:r w:rsidR="008B55D7">
              <w:t>rowy wyprodukowany bez wybielaczy optycznych, gładka powierzchnia, białość CIE</w:t>
            </w:r>
            <w:r w:rsidR="005C3F4F">
              <w:t xml:space="preserve"> </w:t>
            </w:r>
            <w:r w:rsidR="008B55D7">
              <w:t>112</w:t>
            </w:r>
            <w:r w:rsidR="007B16A5">
              <w:t>)</w:t>
            </w:r>
            <w:r w:rsidR="00081309" w:rsidRPr="000139E8">
              <w:t>.</w:t>
            </w:r>
            <w:r w:rsidR="006B3559">
              <w:t xml:space="preserve"> Zamawiający akceptuje przygotowany przez Wykonawcę projekt. </w:t>
            </w:r>
            <w:r w:rsidR="00DE7578">
              <w:t>Pełny kolor.</w:t>
            </w:r>
          </w:p>
        </w:tc>
      </w:tr>
      <w:tr w:rsidR="004F1952" w:rsidRPr="000139E8" w14:paraId="511D1645" w14:textId="77777777" w:rsidTr="00EE2CDB">
        <w:tc>
          <w:tcPr>
            <w:tcW w:w="4531" w:type="dxa"/>
          </w:tcPr>
          <w:p w14:paraId="7A5E9196" w14:textId="1AEBC860" w:rsidR="004F1952" w:rsidRPr="000139E8" w:rsidRDefault="00DE7578" w:rsidP="004F1952">
            <w:pPr>
              <w:jc w:val="center"/>
            </w:pPr>
            <w:r>
              <w:t>Środek</w:t>
            </w:r>
          </w:p>
        </w:tc>
        <w:tc>
          <w:tcPr>
            <w:tcW w:w="4531" w:type="dxa"/>
          </w:tcPr>
          <w:p w14:paraId="190432C9" w14:textId="75176A49" w:rsidR="004F1952" w:rsidRPr="000139E8" w:rsidRDefault="004F1952" w:rsidP="00D4357F">
            <w:r w:rsidRPr="000139E8">
              <w:t>Nautilus Classic 120 g lub równoważny</w:t>
            </w:r>
            <w:r w:rsidR="007B16A5">
              <w:t xml:space="preserve"> (parametry równoważności: papier makulat</w:t>
            </w:r>
            <w:r w:rsidR="0083325E">
              <w:t>u</w:t>
            </w:r>
            <w:r w:rsidR="007B16A5">
              <w:t>rowy wyprodukowany bez wybielaczy optycznych, gładka powierzchnia, białość CIE</w:t>
            </w:r>
            <w:r w:rsidR="00A96A98">
              <w:t xml:space="preserve"> </w:t>
            </w:r>
            <w:r w:rsidR="007B16A5">
              <w:t>112)</w:t>
            </w:r>
            <w:r w:rsidR="00081309" w:rsidRPr="000139E8">
              <w:t>.</w:t>
            </w:r>
            <w:r w:rsidR="00DE7578">
              <w:t xml:space="preserve"> Pełny kolor.</w:t>
            </w:r>
          </w:p>
        </w:tc>
      </w:tr>
      <w:tr w:rsidR="004F1952" w:rsidRPr="004F1952" w14:paraId="4F4472ED" w14:textId="77777777" w:rsidTr="00EE2CDB">
        <w:tc>
          <w:tcPr>
            <w:tcW w:w="4531" w:type="dxa"/>
          </w:tcPr>
          <w:p w14:paraId="6BD8EF67" w14:textId="03CA65E4" w:rsidR="004F1952" w:rsidRPr="000139E8" w:rsidRDefault="004F1952" w:rsidP="004F1952">
            <w:pPr>
              <w:jc w:val="center"/>
            </w:pPr>
            <w:r w:rsidRPr="000139E8">
              <w:t>Technika wykonania</w:t>
            </w:r>
          </w:p>
        </w:tc>
        <w:tc>
          <w:tcPr>
            <w:tcW w:w="4531" w:type="dxa"/>
          </w:tcPr>
          <w:p w14:paraId="7C6524DF" w14:textId="037D6828" w:rsidR="004F1952" w:rsidRPr="004F1952" w:rsidRDefault="004F1952" w:rsidP="00D4357F">
            <w:r w:rsidRPr="000139E8">
              <w:t>Klejenie, szycie</w:t>
            </w:r>
          </w:p>
        </w:tc>
      </w:tr>
      <w:tr w:rsidR="006F486F" w:rsidRPr="004F1952" w14:paraId="28C6DF9B" w14:textId="77777777" w:rsidTr="00EE2CDB">
        <w:tc>
          <w:tcPr>
            <w:tcW w:w="4531" w:type="dxa"/>
          </w:tcPr>
          <w:p w14:paraId="1FBD4F62" w14:textId="5BAB9776" w:rsidR="006F486F" w:rsidRPr="000139E8" w:rsidRDefault="006F486F" w:rsidP="004F1952">
            <w:pPr>
              <w:jc w:val="center"/>
            </w:pPr>
            <w:r>
              <w:t>Przeniesienie praw autorskich</w:t>
            </w:r>
          </w:p>
        </w:tc>
        <w:tc>
          <w:tcPr>
            <w:tcW w:w="4531" w:type="dxa"/>
          </w:tcPr>
          <w:p w14:paraId="3C9B3180" w14:textId="5D8A7587" w:rsidR="006F486F" w:rsidRPr="000139E8" w:rsidRDefault="006F486F" w:rsidP="00D4357F">
            <w:r>
              <w:t xml:space="preserve">Wykonawca przeniesie na </w:t>
            </w:r>
            <w:r w:rsidR="006358B0">
              <w:t>z</w:t>
            </w:r>
            <w:r>
              <w:t>amawiającego autorskie prawa majątkowe do wykorzystania bez ograniczeń czasowych i terytorialnych na wszystkich polach eksploatacji (</w:t>
            </w:r>
            <w:r w:rsidR="001E4150">
              <w:t>i</w:t>
            </w:r>
            <w:r>
              <w:t>nternet, prasa, publikacje, działania informacyjno-promocyjne).</w:t>
            </w:r>
          </w:p>
        </w:tc>
      </w:tr>
    </w:tbl>
    <w:p w14:paraId="6244E498" w14:textId="77777777" w:rsidR="002F0CE5" w:rsidRPr="002F0CE5" w:rsidRDefault="002F0CE5" w:rsidP="002F0CE5">
      <w:pPr>
        <w:rPr>
          <w:b/>
          <w:bCs/>
          <w:sz w:val="24"/>
          <w:szCs w:val="24"/>
        </w:rPr>
      </w:pPr>
    </w:p>
    <w:sectPr w:rsidR="002F0CE5" w:rsidRPr="002F0C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F640" w14:textId="77777777" w:rsidR="001C71FB" w:rsidRDefault="001C71FB" w:rsidP="00605E51">
      <w:r>
        <w:separator/>
      </w:r>
    </w:p>
  </w:endnote>
  <w:endnote w:type="continuationSeparator" w:id="0">
    <w:p w14:paraId="4AF0EF28" w14:textId="77777777" w:rsidR="001C71FB" w:rsidRDefault="001C71FB" w:rsidP="0060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99060"/>
      <w:docPartObj>
        <w:docPartGallery w:val="Page Numbers (Bottom of Page)"/>
        <w:docPartUnique/>
      </w:docPartObj>
    </w:sdtPr>
    <w:sdtEndPr/>
    <w:sdtContent>
      <w:p w14:paraId="45AF781F" w14:textId="51E58629" w:rsidR="00605E51" w:rsidRDefault="00605E51">
        <w:pPr>
          <w:pStyle w:val="Stopka"/>
          <w:jc w:val="right"/>
        </w:pPr>
        <w:r>
          <w:fldChar w:fldCharType="begin"/>
        </w:r>
        <w:r>
          <w:instrText>PAGE   \* MERGEFORMAT</w:instrText>
        </w:r>
        <w:r>
          <w:fldChar w:fldCharType="separate"/>
        </w:r>
        <w:r>
          <w:t>2</w:t>
        </w:r>
        <w:r>
          <w:fldChar w:fldCharType="end"/>
        </w:r>
      </w:p>
    </w:sdtContent>
  </w:sdt>
  <w:p w14:paraId="38AA2B59" w14:textId="77777777" w:rsidR="00605E51" w:rsidRDefault="00605E51" w:rsidP="00605E51">
    <w:pPr>
      <w:pBdr>
        <w:top w:val="nil"/>
        <w:left w:val="nil"/>
        <w:bottom w:val="nil"/>
        <w:right w:val="nil"/>
        <w:between w:val="nil"/>
      </w:pBdr>
      <w:ind w:hanging="2"/>
      <w:jc w:val="left"/>
      <w:rPr>
        <w:color w:val="000000"/>
        <w:sz w:val="17"/>
        <w:szCs w:val="17"/>
      </w:rPr>
    </w:pPr>
    <w:r>
      <w:rPr>
        <w:color w:val="000000"/>
        <w:sz w:val="17"/>
        <w:szCs w:val="17"/>
      </w:rPr>
      <w:t>Projekt „Rewitalizacja szansą na aktywną integrację” jest współfinansowany ze środków Europejskiego Funduszu Społecznego</w:t>
    </w:r>
  </w:p>
  <w:p w14:paraId="734DB8C4" w14:textId="77777777" w:rsidR="00605E51" w:rsidRDefault="00605E51" w:rsidP="00605E51">
    <w:pPr>
      <w:pBdr>
        <w:top w:val="nil"/>
        <w:left w:val="nil"/>
        <w:bottom w:val="nil"/>
        <w:right w:val="nil"/>
        <w:between w:val="nil"/>
      </w:pBdr>
      <w:ind w:hanging="2"/>
      <w:jc w:val="center"/>
      <w:rPr>
        <w:color w:val="000000"/>
        <w:sz w:val="17"/>
        <w:szCs w:val="17"/>
      </w:rPr>
    </w:pPr>
    <w:r>
      <w:rPr>
        <w:color w:val="000000"/>
        <w:sz w:val="17"/>
        <w:szCs w:val="17"/>
      </w:rPr>
      <w:t>w ramach  Regionalnego Programu Operacyjnego Województwa Zachodniopomorskiego na lata 2014-2020.</w:t>
    </w:r>
  </w:p>
  <w:p w14:paraId="5546F2E6" w14:textId="77777777" w:rsidR="00605E51" w:rsidRDefault="00605E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EF76" w14:textId="77777777" w:rsidR="001C71FB" w:rsidRDefault="001C71FB" w:rsidP="00605E51">
      <w:r>
        <w:separator/>
      </w:r>
    </w:p>
  </w:footnote>
  <w:footnote w:type="continuationSeparator" w:id="0">
    <w:p w14:paraId="7609A41E" w14:textId="77777777" w:rsidR="001C71FB" w:rsidRDefault="001C71FB" w:rsidP="0060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F4F1" w14:textId="407ED302" w:rsidR="00605E51" w:rsidRDefault="00605E51">
    <w:pPr>
      <w:pStyle w:val="Nagwek"/>
    </w:pPr>
    <w:r>
      <w:rPr>
        <w:noProof/>
      </w:rPr>
      <w:drawing>
        <wp:anchor distT="0" distB="0" distL="114300" distR="114300" simplePos="0" relativeHeight="251659264" behindDoc="0" locked="0" layoutInCell="1" hidden="0" allowOverlap="1" wp14:anchorId="5C71B7FC" wp14:editId="192A8B39">
          <wp:simplePos x="0" y="0"/>
          <wp:positionH relativeFrom="column">
            <wp:posOffset>-205740</wp:posOffset>
          </wp:positionH>
          <wp:positionV relativeFrom="paragraph">
            <wp:posOffset>-244475</wp:posOffset>
          </wp:positionV>
          <wp:extent cx="6075045" cy="920750"/>
          <wp:effectExtent l="0" t="0" r="0" b="0"/>
          <wp:wrapSquare wrapText="bothSides" distT="0" distB="0" distL="114300" distR="114300"/>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75045" cy="920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D5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05C7D"/>
    <w:multiLevelType w:val="hybridMultilevel"/>
    <w:tmpl w:val="C4A09F8A"/>
    <w:lvl w:ilvl="0" w:tplc="027A70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C1127A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359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2B56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64E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E4C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67E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E2FD6"/>
    <w:multiLevelType w:val="hybridMultilevel"/>
    <w:tmpl w:val="BFCC99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5747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DD1444"/>
    <w:multiLevelType w:val="hybridMultilevel"/>
    <w:tmpl w:val="2D800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91CF6"/>
    <w:multiLevelType w:val="hybridMultilevel"/>
    <w:tmpl w:val="4E5EFA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C51FA9"/>
    <w:multiLevelType w:val="hybridMultilevel"/>
    <w:tmpl w:val="1D081900"/>
    <w:lvl w:ilvl="0" w:tplc="12F6C272">
      <w:start w:val="1"/>
      <w:numFmt w:val="decimal"/>
      <w:lvlText w:val="%1."/>
      <w:lvlJc w:val="left"/>
      <w:pPr>
        <w:ind w:left="360" w:hanging="360"/>
      </w:pPr>
      <w:rPr>
        <w:rFonts w:cs="Calibr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824F71"/>
    <w:multiLevelType w:val="hybridMultilevel"/>
    <w:tmpl w:val="BDE20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B007EE"/>
    <w:multiLevelType w:val="hybridMultilevel"/>
    <w:tmpl w:val="C6147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D67E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5037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9C0D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C657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8C7D04"/>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2274A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DD24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41651D"/>
    <w:multiLevelType w:val="hybridMultilevel"/>
    <w:tmpl w:val="9ED61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A465F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E33C03"/>
    <w:multiLevelType w:val="hybridMultilevel"/>
    <w:tmpl w:val="99224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014242"/>
    <w:multiLevelType w:val="hybridMultilevel"/>
    <w:tmpl w:val="29E6B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D1E471B"/>
    <w:multiLevelType w:val="hybridMultilevel"/>
    <w:tmpl w:val="38742F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D9F2284"/>
    <w:multiLevelType w:val="hybridMultilevel"/>
    <w:tmpl w:val="95F41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3"/>
  </w:num>
  <w:num w:numId="3">
    <w:abstractNumId w:val="22"/>
  </w:num>
  <w:num w:numId="4">
    <w:abstractNumId w:val="27"/>
  </w:num>
  <w:num w:numId="5">
    <w:abstractNumId w:val="21"/>
  </w:num>
  <w:num w:numId="6">
    <w:abstractNumId w:val="14"/>
  </w:num>
  <w:num w:numId="7">
    <w:abstractNumId w:val="5"/>
  </w:num>
  <w:num w:numId="8">
    <w:abstractNumId w:val="8"/>
  </w:num>
  <w:num w:numId="9">
    <w:abstractNumId w:val="3"/>
  </w:num>
  <w:num w:numId="10">
    <w:abstractNumId w:val="26"/>
  </w:num>
  <w:num w:numId="11">
    <w:abstractNumId w:val="0"/>
  </w:num>
  <w:num w:numId="12">
    <w:abstractNumId w:val="9"/>
  </w:num>
  <w:num w:numId="13">
    <w:abstractNumId w:val="24"/>
  </w:num>
  <w:num w:numId="14">
    <w:abstractNumId w:val="23"/>
  </w:num>
  <w:num w:numId="15">
    <w:abstractNumId w:val="7"/>
  </w:num>
  <w:num w:numId="16">
    <w:abstractNumId w:val="6"/>
  </w:num>
  <w:num w:numId="17">
    <w:abstractNumId w:val="4"/>
  </w:num>
  <w:num w:numId="18">
    <w:abstractNumId w:val="2"/>
  </w:num>
  <w:num w:numId="19">
    <w:abstractNumId w:val="15"/>
  </w:num>
  <w:num w:numId="20">
    <w:abstractNumId w:val="16"/>
  </w:num>
  <w:num w:numId="21">
    <w:abstractNumId w:val="25"/>
  </w:num>
  <w:num w:numId="22">
    <w:abstractNumId w:val="18"/>
  </w:num>
  <w:num w:numId="23">
    <w:abstractNumId w:val="20"/>
  </w:num>
  <w:num w:numId="24">
    <w:abstractNumId w:val="11"/>
  </w:num>
  <w:num w:numId="25">
    <w:abstractNumId w:val="12"/>
  </w:num>
  <w:num w:numId="26">
    <w:abstractNumId w:val="19"/>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B0"/>
    <w:rsid w:val="00003AA7"/>
    <w:rsid w:val="00007523"/>
    <w:rsid w:val="000101D2"/>
    <w:rsid w:val="000118C7"/>
    <w:rsid w:val="000139E8"/>
    <w:rsid w:val="000236C1"/>
    <w:rsid w:val="000246BE"/>
    <w:rsid w:val="00025434"/>
    <w:rsid w:val="00051FD8"/>
    <w:rsid w:val="00057BDE"/>
    <w:rsid w:val="00066F12"/>
    <w:rsid w:val="000767B4"/>
    <w:rsid w:val="00076FF7"/>
    <w:rsid w:val="00081309"/>
    <w:rsid w:val="00091FE9"/>
    <w:rsid w:val="00093064"/>
    <w:rsid w:val="00093F00"/>
    <w:rsid w:val="000A7938"/>
    <w:rsid w:val="000B2D5F"/>
    <w:rsid w:val="000B2EB1"/>
    <w:rsid w:val="000C4CC8"/>
    <w:rsid w:val="000C7E55"/>
    <w:rsid w:val="000D0A45"/>
    <w:rsid w:val="000D526A"/>
    <w:rsid w:val="000E035A"/>
    <w:rsid w:val="000E6389"/>
    <w:rsid w:val="000F4E60"/>
    <w:rsid w:val="000F68D9"/>
    <w:rsid w:val="000F7840"/>
    <w:rsid w:val="000F7934"/>
    <w:rsid w:val="00107D20"/>
    <w:rsid w:val="00134B62"/>
    <w:rsid w:val="00141EAC"/>
    <w:rsid w:val="00143726"/>
    <w:rsid w:val="00151050"/>
    <w:rsid w:val="0015456A"/>
    <w:rsid w:val="0015604E"/>
    <w:rsid w:val="00185352"/>
    <w:rsid w:val="0018563D"/>
    <w:rsid w:val="001A1DEB"/>
    <w:rsid w:val="001A457B"/>
    <w:rsid w:val="001B40A4"/>
    <w:rsid w:val="001C71FB"/>
    <w:rsid w:val="001D157B"/>
    <w:rsid w:val="001D1D61"/>
    <w:rsid w:val="001D282A"/>
    <w:rsid w:val="001E12F6"/>
    <w:rsid w:val="001E4150"/>
    <w:rsid w:val="001E4842"/>
    <w:rsid w:val="001E75C2"/>
    <w:rsid w:val="001F010E"/>
    <w:rsid w:val="001F152C"/>
    <w:rsid w:val="001F1C3C"/>
    <w:rsid w:val="001F20B6"/>
    <w:rsid w:val="001F3110"/>
    <w:rsid w:val="001F3E8E"/>
    <w:rsid w:val="00202D37"/>
    <w:rsid w:val="0020301F"/>
    <w:rsid w:val="00212A2F"/>
    <w:rsid w:val="00215285"/>
    <w:rsid w:val="00221C01"/>
    <w:rsid w:val="00222B7A"/>
    <w:rsid w:val="00231361"/>
    <w:rsid w:val="00231A65"/>
    <w:rsid w:val="0023350B"/>
    <w:rsid w:val="002343A0"/>
    <w:rsid w:val="00240E52"/>
    <w:rsid w:val="00266EC4"/>
    <w:rsid w:val="00275819"/>
    <w:rsid w:val="00276947"/>
    <w:rsid w:val="002B2D04"/>
    <w:rsid w:val="002B6D75"/>
    <w:rsid w:val="002C38B0"/>
    <w:rsid w:val="002D058D"/>
    <w:rsid w:val="002D7E8D"/>
    <w:rsid w:val="002F0CE5"/>
    <w:rsid w:val="002F2256"/>
    <w:rsid w:val="002F2D50"/>
    <w:rsid w:val="00300699"/>
    <w:rsid w:val="003143A7"/>
    <w:rsid w:val="0031545B"/>
    <w:rsid w:val="00320680"/>
    <w:rsid w:val="00322D2C"/>
    <w:rsid w:val="00331B82"/>
    <w:rsid w:val="00332A6B"/>
    <w:rsid w:val="00345805"/>
    <w:rsid w:val="00357CD1"/>
    <w:rsid w:val="003712A9"/>
    <w:rsid w:val="00373FA3"/>
    <w:rsid w:val="003871AD"/>
    <w:rsid w:val="00395409"/>
    <w:rsid w:val="003A285F"/>
    <w:rsid w:val="003A3C34"/>
    <w:rsid w:val="003B511B"/>
    <w:rsid w:val="003C3139"/>
    <w:rsid w:val="003C405A"/>
    <w:rsid w:val="003D060A"/>
    <w:rsid w:val="003E5794"/>
    <w:rsid w:val="003F3257"/>
    <w:rsid w:val="003F62DC"/>
    <w:rsid w:val="0040528D"/>
    <w:rsid w:val="0041563F"/>
    <w:rsid w:val="0041630E"/>
    <w:rsid w:val="00417771"/>
    <w:rsid w:val="00421134"/>
    <w:rsid w:val="004222CD"/>
    <w:rsid w:val="00431A00"/>
    <w:rsid w:val="00434E29"/>
    <w:rsid w:val="004431F5"/>
    <w:rsid w:val="004527AD"/>
    <w:rsid w:val="0045787D"/>
    <w:rsid w:val="004715C6"/>
    <w:rsid w:val="00472FD8"/>
    <w:rsid w:val="0047641C"/>
    <w:rsid w:val="00494787"/>
    <w:rsid w:val="00497592"/>
    <w:rsid w:val="004A40A9"/>
    <w:rsid w:val="004B6030"/>
    <w:rsid w:val="004C331B"/>
    <w:rsid w:val="004E70A9"/>
    <w:rsid w:val="004F1952"/>
    <w:rsid w:val="004F1DD9"/>
    <w:rsid w:val="004F3E75"/>
    <w:rsid w:val="004F52EF"/>
    <w:rsid w:val="004F6379"/>
    <w:rsid w:val="00500817"/>
    <w:rsid w:val="00520F4E"/>
    <w:rsid w:val="005226C2"/>
    <w:rsid w:val="005242B9"/>
    <w:rsid w:val="00536A70"/>
    <w:rsid w:val="0054756B"/>
    <w:rsid w:val="00564030"/>
    <w:rsid w:val="005660CD"/>
    <w:rsid w:val="00570059"/>
    <w:rsid w:val="00572EA7"/>
    <w:rsid w:val="0057417C"/>
    <w:rsid w:val="00574373"/>
    <w:rsid w:val="00576C79"/>
    <w:rsid w:val="0058097C"/>
    <w:rsid w:val="00580CF6"/>
    <w:rsid w:val="00582219"/>
    <w:rsid w:val="00587B2B"/>
    <w:rsid w:val="00591F03"/>
    <w:rsid w:val="005938D9"/>
    <w:rsid w:val="005957BE"/>
    <w:rsid w:val="005A38AB"/>
    <w:rsid w:val="005C3F4F"/>
    <w:rsid w:val="005D05A1"/>
    <w:rsid w:val="005F3296"/>
    <w:rsid w:val="005F3BF4"/>
    <w:rsid w:val="006006D6"/>
    <w:rsid w:val="006022B9"/>
    <w:rsid w:val="00604B0C"/>
    <w:rsid w:val="00605E51"/>
    <w:rsid w:val="006114B0"/>
    <w:rsid w:val="00615F9A"/>
    <w:rsid w:val="00620012"/>
    <w:rsid w:val="00625F21"/>
    <w:rsid w:val="0062787A"/>
    <w:rsid w:val="00633744"/>
    <w:rsid w:val="006352B4"/>
    <w:rsid w:val="006358B0"/>
    <w:rsid w:val="00635F7F"/>
    <w:rsid w:val="00644C48"/>
    <w:rsid w:val="00646953"/>
    <w:rsid w:val="00652F91"/>
    <w:rsid w:val="0065301A"/>
    <w:rsid w:val="00656E8D"/>
    <w:rsid w:val="0065749C"/>
    <w:rsid w:val="006579A9"/>
    <w:rsid w:val="00660CED"/>
    <w:rsid w:val="0067018C"/>
    <w:rsid w:val="006714C7"/>
    <w:rsid w:val="00681CD7"/>
    <w:rsid w:val="00686159"/>
    <w:rsid w:val="006A6F2C"/>
    <w:rsid w:val="006B3559"/>
    <w:rsid w:val="006C18DD"/>
    <w:rsid w:val="006C2518"/>
    <w:rsid w:val="006C36F2"/>
    <w:rsid w:val="006C4FBC"/>
    <w:rsid w:val="006D4F7B"/>
    <w:rsid w:val="006D65C0"/>
    <w:rsid w:val="006E2CF7"/>
    <w:rsid w:val="006E38D0"/>
    <w:rsid w:val="006E3F69"/>
    <w:rsid w:val="006E7F47"/>
    <w:rsid w:val="006F486F"/>
    <w:rsid w:val="006F5AD9"/>
    <w:rsid w:val="00702C89"/>
    <w:rsid w:val="00717568"/>
    <w:rsid w:val="0072097D"/>
    <w:rsid w:val="00726C57"/>
    <w:rsid w:val="00734F24"/>
    <w:rsid w:val="00735839"/>
    <w:rsid w:val="0073760A"/>
    <w:rsid w:val="007510B3"/>
    <w:rsid w:val="0076317A"/>
    <w:rsid w:val="0077115D"/>
    <w:rsid w:val="00774E42"/>
    <w:rsid w:val="00775E97"/>
    <w:rsid w:val="00776271"/>
    <w:rsid w:val="007805C0"/>
    <w:rsid w:val="007843A4"/>
    <w:rsid w:val="007915A7"/>
    <w:rsid w:val="00794B84"/>
    <w:rsid w:val="007B16A5"/>
    <w:rsid w:val="007B2161"/>
    <w:rsid w:val="007C0D21"/>
    <w:rsid w:val="007C245E"/>
    <w:rsid w:val="007D3305"/>
    <w:rsid w:val="007D71F0"/>
    <w:rsid w:val="007E6A81"/>
    <w:rsid w:val="007F3D65"/>
    <w:rsid w:val="007F3F4B"/>
    <w:rsid w:val="008065CC"/>
    <w:rsid w:val="008217D2"/>
    <w:rsid w:val="0082355B"/>
    <w:rsid w:val="00830EBE"/>
    <w:rsid w:val="0083325E"/>
    <w:rsid w:val="008401F4"/>
    <w:rsid w:val="0084489D"/>
    <w:rsid w:val="00850EF7"/>
    <w:rsid w:val="00851EB2"/>
    <w:rsid w:val="00867928"/>
    <w:rsid w:val="00871508"/>
    <w:rsid w:val="00872490"/>
    <w:rsid w:val="00883977"/>
    <w:rsid w:val="0089390A"/>
    <w:rsid w:val="00895C29"/>
    <w:rsid w:val="008A1A3D"/>
    <w:rsid w:val="008A7C9B"/>
    <w:rsid w:val="008B55D7"/>
    <w:rsid w:val="008C55BB"/>
    <w:rsid w:val="008E2B93"/>
    <w:rsid w:val="00903946"/>
    <w:rsid w:val="00910ED0"/>
    <w:rsid w:val="00912010"/>
    <w:rsid w:val="00913B1F"/>
    <w:rsid w:val="00923FA0"/>
    <w:rsid w:val="0092532A"/>
    <w:rsid w:val="00937335"/>
    <w:rsid w:val="00937442"/>
    <w:rsid w:val="009422BD"/>
    <w:rsid w:val="00954540"/>
    <w:rsid w:val="00955704"/>
    <w:rsid w:val="009573F6"/>
    <w:rsid w:val="0096568B"/>
    <w:rsid w:val="00966A0F"/>
    <w:rsid w:val="00977051"/>
    <w:rsid w:val="00987A6C"/>
    <w:rsid w:val="009A035F"/>
    <w:rsid w:val="009A1F09"/>
    <w:rsid w:val="009C122D"/>
    <w:rsid w:val="009C3623"/>
    <w:rsid w:val="009C3C28"/>
    <w:rsid w:val="009D0452"/>
    <w:rsid w:val="009D0A07"/>
    <w:rsid w:val="009D30F2"/>
    <w:rsid w:val="009E0C88"/>
    <w:rsid w:val="009E3A0B"/>
    <w:rsid w:val="009F305E"/>
    <w:rsid w:val="009F4D70"/>
    <w:rsid w:val="009F6CE5"/>
    <w:rsid w:val="00A064A9"/>
    <w:rsid w:val="00A06AB8"/>
    <w:rsid w:val="00A10390"/>
    <w:rsid w:val="00A2268C"/>
    <w:rsid w:val="00A24AB2"/>
    <w:rsid w:val="00A319EE"/>
    <w:rsid w:val="00A32E88"/>
    <w:rsid w:val="00A32EC7"/>
    <w:rsid w:val="00A42D8E"/>
    <w:rsid w:val="00A50C48"/>
    <w:rsid w:val="00A6249F"/>
    <w:rsid w:val="00A66A21"/>
    <w:rsid w:val="00A7650C"/>
    <w:rsid w:val="00A805D1"/>
    <w:rsid w:val="00A96A98"/>
    <w:rsid w:val="00AA54A9"/>
    <w:rsid w:val="00AB60C0"/>
    <w:rsid w:val="00AB72EE"/>
    <w:rsid w:val="00AC63B4"/>
    <w:rsid w:val="00AF148E"/>
    <w:rsid w:val="00AF3516"/>
    <w:rsid w:val="00AF3778"/>
    <w:rsid w:val="00AF785D"/>
    <w:rsid w:val="00B0099F"/>
    <w:rsid w:val="00B02E43"/>
    <w:rsid w:val="00B15ADE"/>
    <w:rsid w:val="00B20068"/>
    <w:rsid w:val="00B4007D"/>
    <w:rsid w:val="00B42348"/>
    <w:rsid w:val="00B454C7"/>
    <w:rsid w:val="00B50B58"/>
    <w:rsid w:val="00B55A37"/>
    <w:rsid w:val="00B90074"/>
    <w:rsid w:val="00BA05BD"/>
    <w:rsid w:val="00BB4665"/>
    <w:rsid w:val="00BD11DA"/>
    <w:rsid w:val="00BE1270"/>
    <w:rsid w:val="00C06553"/>
    <w:rsid w:val="00C06D88"/>
    <w:rsid w:val="00C109BE"/>
    <w:rsid w:val="00C13C30"/>
    <w:rsid w:val="00C1682F"/>
    <w:rsid w:val="00C17B0A"/>
    <w:rsid w:val="00C20FB0"/>
    <w:rsid w:val="00C26D6F"/>
    <w:rsid w:val="00C52922"/>
    <w:rsid w:val="00C53B77"/>
    <w:rsid w:val="00C53D27"/>
    <w:rsid w:val="00C54A85"/>
    <w:rsid w:val="00C65D75"/>
    <w:rsid w:val="00C67743"/>
    <w:rsid w:val="00C9689A"/>
    <w:rsid w:val="00CB2C2C"/>
    <w:rsid w:val="00CB3675"/>
    <w:rsid w:val="00CD3970"/>
    <w:rsid w:val="00CE66F3"/>
    <w:rsid w:val="00CF050D"/>
    <w:rsid w:val="00CF31BD"/>
    <w:rsid w:val="00CF6F37"/>
    <w:rsid w:val="00D0416A"/>
    <w:rsid w:val="00D0784E"/>
    <w:rsid w:val="00D12976"/>
    <w:rsid w:val="00D141BB"/>
    <w:rsid w:val="00D311BD"/>
    <w:rsid w:val="00D341E1"/>
    <w:rsid w:val="00D4242C"/>
    <w:rsid w:val="00D4357F"/>
    <w:rsid w:val="00D57459"/>
    <w:rsid w:val="00D60C46"/>
    <w:rsid w:val="00D62938"/>
    <w:rsid w:val="00D654A6"/>
    <w:rsid w:val="00D740F1"/>
    <w:rsid w:val="00D77550"/>
    <w:rsid w:val="00D9021F"/>
    <w:rsid w:val="00D92289"/>
    <w:rsid w:val="00DA0CAC"/>
    <w:rsid w:val="00DA478B"/>
    <w:rsid w:val="00DB0721"/>
    <w:rsid w:val="00DB3587"/>
    <w:rsid w:val="00DB4B7A"/>
    <w:rsid w:val="00DC01EF"/>
    <w:rsid w:val="00DC32CA"/>
    <w:rsid w:val="00DC6CD7"/>
    <w:rsid w:val="00DC794B"/>
    <w:rsid w:val="00DE7578"/>
    <w:rsid w:val="00E02ADD"/>
    <w:rsid w:val="00E05215"/>
    <w:rsid w:val="00E0602D"/>
    <w:rsid w:val="00E1452E"/>
    <w:rsid w:val="00E14F1A"/>
    <w:rsid w:val="00E4204A"/>
    <w:rsid w:val="00E530D0"/>
    <w:rsid w:val="00E57D55"/>
    <w:rsid w:val="00E65CB9"/>
    <w:rsid w:val="00E73BA2"/>
    <w:rsid w:val="00E84EA0"/>
    <w:rsid w:val="00E878CB"/>
    <w:rsid w:val="00E87AA1"/>
    <w:rsid w:val="00E924C1"/>
    <w:rsid w:val="00E93E37"/>
    <w:rsid w:val="00E96EF7"/>
    <w:rsid w:val="00EA4F6F"/>
    <w:rsid w:val="00EB1B10"/>
    <w:rsid w:val="00EC0CBD"/>
    <w:rsid w:val="00EC616F"/>
    <w:rsid w:val="00EC6480"/>
    <w:rsid w:val="00EC7920"/>
    <w:rsid w:val="00ED70C4"/>
    <w:rsid w:val="00EE2CDB"/>
    <w:rsid w:val="00EE78CB"/>
    <w:rsid w:val="00EF1743"/>
    <w:rsid w:val="00EF7045"/>
    <w:rsid w:val="00F054AD"/>
    <w:rsid w:val="00F10DB6"/>
    <w:rsid w:val="00F15814"/>
    <w:rsid w:val="00F17899"/>
    <w:rsid w:val="00F20A74"/>
    <w:rsid w:val="00F237D1"/>
    <w:rsid w:val="00F2528C"/>
    <w:rsid w:val="00F319F5"/>
    <w:rsid w:val="00F34011"/>
    <w:rsid w:val="00F4155E"/>
    <w:rsid w:val="00F432F9"/>
    <w:rsid w:val="00F4335E"/>
    <w:rsid w:val="00F43ABC"/>
    <w:rsid w:val="00F5334D"/>
    <w:rsid w:val="00F53C6D"/>
    <w:rsid w:val="00F632A9"/>
    <w:rsid w:val="00F645E8"/>
    <w:rsid w:val="00F7291E"/>
    <w:rsid w:val="00F859A0"/>
    <w:rsid w:val="00F950FC"/>
    <w:rsid w:val="00FA247B"/>
    <w:rsid w:val="00FA6474"/>
    <w:rsid w:val="00FA6D0D"/>
    <w:rsid w:val="00FA74D0"/>
    <w:rsid w:val="00FB165F"/>
    <w:rsid w:val="00FB1DB3"/>
    <w:rsid w:val="00FB4FD5"/>
    <w:rsid w:val="00FB7D20"/>
    <w:rsid w:val="00FC14D2"/>
    <w:rsid w:val="00FD259C"/>
    <w:rsid w:val="00FD7587"/>
    <w:rsid w:val="00FF1ED0"/>
    <w:rsid w:val="00FF6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F24D5"/>
  <w15:chartTrackingRefBased/>
  <w15:docId w15:val="{8873DA7B-069B-4837-AF82-C84731BC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291E"/>
    <w:pPr>
      <w:spacing w:after="0" w:line="240" w:lineRule="auto"/>
      <w:jc w:val="both"/>
    </w:pPr>
  </w:style>
  <w:style w:type="paragraph" w:styleId="Nagwek1">
    <w:name w:val="heading 1"/>
    <w:basedOn w:val="Normalny"/>
    <w:next w:val="Normalny"/>
    <w:link w:val="Nagwek1Znak"/>
    <w:uiPriority w:val="9"/>
    <w:qFormat/>
    <w:rsid w:val="00A50C48"/>
    <w:pPr>
      <w:keepNext/>
      <w:keepLines/>
      <w:pBdr>
        <w:top w:val="single" w:sz="4" w:space="1" w:color="auto"/>
        <w:left w:val="single" w:sz="4" w:space="4" w:color="auto"/>
        <w:bottom w:val="single" w:sz="4" w:space="1" w:color="auto"/>
        <w:right w:val="single" w:sz="4" w:space="4" w:color="auto"/>
      </w:pBdr>
      <w:shd w:val="clear" w:color="auto" w:fill="8EAADB" w:themeFill="accent1" w:themeFillTint="99"/>
      <w:spacing w:before="240"/>
      <w:jc w:val="center"/>
      <w:outlineLvl w:val="0"/>
    </w:pPr>
    <w:rPr>
      <w:rFonts w:ascii="Calibri" w:eastAsiaTheme="majorEastAsia" w:hAnsi="Calibri" w:cstheme="majorBidi"/>
      <w:b/>
      <w:color w:val="000000" w:themeColor="text1"/>
      <w:sz w:val="28"/>
      <w:szCs w:val="32"/>
    </w:rPr>
  </w:style>
  <w:style w:type="paragraph" w:styleId="Nagwek3">
    <w:name w:val="heading 3"/>
    <w:basedOn w:val="Normalny"/>
    <w:next w:val="Normalny"/>
    <w:link w:val="Nagwek3Znak"/>
    <w:uiPriority w:val="9"/>
    <w:semiHidden/>
    <w:unhideWhenUsed/>
    <w:qFormat/>
    <w:rsid w:val="001E75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5E51"/>
    <w:pPr>
      <w:tabs>
        <w:tab w:val="center" w:pos="4536"/>
        <w:tab w:val="right" w:pos="9072"/>
      </w:tabs>
    </w:pPr>
  </w:style>
  <w:style w:type="character" w:customStyle="1" w:styleId="NagwekZnak">
    <w:name w:val="Nagłówek Znak"/>
    <w:basedOn w:val="Domylnaczcionkaakapitu"/>
    <w:link w:val="Nagwek"/>
    <w:uiPriority w:val="99"/>
    <w:rsid w:val="00605E51"/>
  </w:style>
  <w:style w:type="paragraph" w:styleId="Stopka">
    <w:name w:val="footer"/>
    <w:basedOn w:val="Normalny"/>
    <w:link w:val="StopkaZnak"/>
    <w:uiPriority w:val="99"/>
    <w:unhideWhenUsed/>
    <w:rsid w:val="00605E51"/>
    <w:pPr>
      <w:tabs>
        <w:tab w:val="center" w:pos="4536"/>
        <w:tab w:val="right" w:pos="9072"/>
      </w:tabs>
    </w:pPr>
  </w:style>
  <w:style w:type="character" w:customStyle="1" w:styleId="StopkaZnak">
    <w:name w:val="Stopka Znak"/>
    <w:basedOn w:val="Domylnaczcionkaakapitu"/>
    <w:link w:val="Stopka"/>
    <w:uiPriority w:val="99"/>
    <w:rsid w:val="00605E51"/>
  </w:style>
  <w:style w:type="character" w:customStyle="1" w:styleId="Nagwek1Znak">
    <w:name w:val="Nagłówek 1 Znak"/>
    <w:basedOn w:val="Domylnaczcionkaakapitu"/>
    <w:link w:val="Nagwek1"/>
    <w:uiPriority w:val="9"/>
    <w:rsid w:val="00A50C48"/>
    <w:rPr>
      <w:rFonts w:ascii="Calibri" w:eastAsiaTheme="majorEastAsia" w:hAnsi="Calibri" w:cstheme="majorBidi"/>
      <w:b/>
      <w:color w:val="000000" w:themeColor="text1"/>
      <w:sz w:val="28"/>
      <w:szCs w:val="32"/>
      <w:shd w:val="clear" w:color="auto" w:fill="8EAADB" w:themeFill="accent1" w:themeFillTint="99"/>
    </w:rPr>
  </w:style>
  <w:style w:type="table" w:styleId="Tabela-Siatka">
    <w:name w:val="Table Grid"/>
    <w:basedOn w:val="Standardowy"/>
    <w:uiPriority w:val="39"/>
    <w:rsid w:val="0060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72FD8"/>
    <w:rPr>
      <w:color w:val="0563C1" w:themeColor="hyperlink"/>
      <w:u w:val="single"/>
    </w:rPr>
  </w:style>
  <w:style w:type="character" w:styleId="Nierozpoznanawzmianka">
    <w:name w:val="Unresolved Mention"/>
    <w:basedOn w:val="Domylnaczcionkaakapitu"/>
    <w:uiPriority w:val="99"/>
    <w:semiHidden/>
    <w:unhideWhenUsed/>
    <w:rsid w:val="00472FD8"/>
    <w:rPr>
      <w:color w:val="605E5C"/>
      <w:shd w:val="clear" w:color="auto" w:fill="E1DFDD"/>
    </w:rPr>
  </w:style>
  <w:style w:type="paragraph" w:styleId="Akapitzlist">
    <w:name w:val="List Paragraph"/>
    <w:aliases w:val="normalny tekst"/>
    <w:basedOn w:val="Normalny"/>
    <w:link w:val="AkapitzlistZnak"/>
    <w:uiPriority w:val="34"/>
    <w:qFormat/>
    <w:rsid w:val="000F7840"/>
    <w:pPr>
      <w:ind w:left="720"/>
      <w:contextualSpacing/>
    </w:pPr>
  </w:style>
  <w:style w:type="character" w:customStyle="1" w:styleId="AkapitzlistZnak">
    <w:name w:val="Akapit z listą Znak"/>
    <w:aliases w:val="normalny tekst Znak"/>
    <w:link w:val="Akapitzlist"/>
    <w:uiPriority w:val="34"/>
    <w:rsid w:val="00F7291E"/>
  </w:style>
  <w:style w:type="character" w:customStyle="1" w:styleId="Nagwek3Znak">
    <w:name w:val="Nagłówek 3 Znak"/>
    <w:basedOn w:val="Domylnaczcionkaakapitu"/>
    <w:link w:val="Nagwek3"/>
    <w:uiPriority w:val="9"/>
    <w:semiHidden/>
    <w:rsid w:val="001E75C2"/>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9F6CE5"/>
    <w:pPr>
      <w:pBdr>
        <w:top w:val="none" w:sz="0" w:space="0" w:color="auto"/>
        <w:left w:val="none" w:sz="0" w:space="0" w:color="auto"/>
        <w:bottom w:val="none" w:sz="0" w:space="0" w:color="auto"/>
        <w:right w:val="none" w:sz="0" w:space="0" w:color="auto"/>
      </w:pBdr>
      <w:shd w:val="clear" w:color="auto" w:fill="auto"/>
      <w:spacing w:line="259" w:lineRule="auto"/>
      <w:jc w:val="left"/>
      <w:outlineLvl w:val="9"/>
    </w:pPr>
    <w:rPr>
      <w:rFonts w:asciiTheme="majorHAnsi" w:hAnsiTheme="majorHAnsi"/>
      <w:b w:val="0"/>
      <w:caps/>
      <w:color w:val="2F5496" w:themeColor="accent1" w:themeShade="BF"/>
      <w:sz w:val="32"/>
      <w:lang w:eastAsia="pl-PL"/>
    </w:rPr>
  </w:style>
  <w:style w:type="paragraph" w:styleId="Spistreci1">
    <w:name w:val="toc 1"/>
    <w:basedOn w:val="Normalny"/>
    <w:next w:val="Normalny"/>
    <w:autoRedefine/>
    <w:uiPriority w:val="39"/>
    <w:unhideWhenUsed/>
    <w:rsid w:val="009F6CE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6720">
      <w:bodyDiv w:val="1"/>
      <w:marLeft w:val="0"/>
      <w:marRight w:val="0"/>
      <w:marTop w:val="0"/>
      <w:marBottom w:val="0"/>
      <w:divBdr>
        <w:top w:val="none" w:sz="0" w:space="0" w:color="auto"/>
        <w:left w:val="none" w:sz="0" w:space="0" w:color="auto"/>
        <w:bottom w:val="none" w:sz="0" w:space="0" w:color="auto"/>
        <w:right w:val="none" w:sz="0" w:space="0" w:color="auto"/>
      </w:divBdr>
    </w:div>
    <w:div w:id="17879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9ED92-DF31-46E3-A295-ABDEE635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972</Words>
  <Characters>5837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Ziemiński</dc:creator>
  <cp:keywords/>
  <dc:description/>
  <cp:lastModifiedBy>Maciej Ziemiński</cp:lastModifiedBy>
  <cp:revision>134</cp:revision>
  <dcterms:created xsi:type="dcterms:W3CDTF">2021-07-21T09:12:00Z</dcterms:created>
  <dcterms:modified xsi:type="dcterms:W3CDTF">2021-07-23T08:37:00Z</dcterms:modified>
</cp:coreProperties>
</file>